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AC2" w:rsidRDefault="00800D8C">
      <w:pPr>
        <w:pStyle w:val="Titolo5"/>
      </w:pPr>
      <w:bookmarkStart w:id="0" w:name="_GoBack"/>
      <w:bookmarkEnd w:id="0"/>
      <w:r>
        <w:t>INFORMAZIONI SUL TRATTAMENTO DEI DATI PERSONALI</w:t>
      </w:r>
    </w:p>
    <w:p w:rsidR="00CE7AC2" w:rsidRDefault="00800D8C">
      <w:pPr>
        <w:pStyle w:val="Titolo5"/>
        <w:keepNext w:val="0"/>
      </w:pPr>
      <w:r>
        <w:t>del personale dipendente e delle figure assimilate</w:t>
      </w:r>
    </w:p>
    <w:p w:rsidR="00CE7AC2" w:rsidRDefault="00800D8C">
      <w:pPr>
        <w:jc w:val="center"/>
        <w:rPr>
          <w:b/>
          <w:bCs/>
          <w:sz w:val="24"/>
          <w:szCs w:val="24"/>
        </w:rPr>
      </w:pPr>
      <w:r>
        <w:rPr>
          <w:b/>
          <w:bCs/>
          <w:sz w:val="24"/>
          <w:szCs w:val="24"/>
        </w:rPr>
        <w:t>ai sensi degli artt. 13 e 14 del Regolamento (UE) 2016/679</w:t>
      </w:r>
    </w:p>
    <w:p w:rsidR="00CE7AC2" w:rsidRDefault="00800D8C">
      <w:r>
        <w:t>In conformità con gli articoli 13 e 14 del Regolamento (UE) 2016/679 (di seguito GDPR), questa Istituzione Scolastica, nel trattare i dati personali che La riguardano, è tenuta a fornirLe, in qualità di interessato, le informazioni di seguito indicate.</w:t>
      </w:r>
    </w:p>
    <w:p w:rsidR="00CE7AC2" w:rsidRDefault="00800D8C">
      <w:pPr>
        <w:pStyle w:val="Titolo5"/>
        <w:keepNext w:val="0"/>
      </w:pPr>
      <w:r>
        <w:t>Categorie di soggetti interessati dal trattamento</w:t>
      </w:r>
    </w:p>
    <w:p w:rsidR="00CE7AC2" w:rsidRDefault="00800D8C">
      <w:pPr>
        <w:pStyle w:val="Titolo5"/>
        <w:jc w:val="both"/>
        <w:rPr>
          <w:b w:val="0"/>
          <w:bCs w:val="0"/>
          <w:sz w:val="20"/>
          <w:szCs w:val="20"/>
        </w:rPr>
      </w:pPr>
      <w:r>
        <w:rPr>
          <w:b w:val="0"/>
          <w:bCs w:val="0"/>
          <w:sz w:val="20"/>
          <w:szCs w:val="20"/>
        </w:rPr>
        <w:t xml:space="preserve">Ai sensi dell'art. 4, comma 1, del GDPR, la presente informativa si rivolge al personale che opera presso l’Istituzione scolastica: </w:t>
      </w:r>
    </w:p>
    <w:p w:rsidR="00CE7AC2" w:rsidRDefault="00800D8C">
      <w:pPr>
        <w:numPr>
          <w:ilvl w:val="0"/>
          <w:numId w:val="4"/>
        </w:numPr>
        <w:pBdr>
          <w:top w:val="nil"/>
          <w:left w:val="nil"/>
          <w:bottom w:val="nil"/>
          <w:right w:val="nil"/>
          <w:between w:val="nil"/>
        </w:pBdr>
        <w:rPr>
          <w:b/>
          <w:bCs/>
          <w:color w:val="000000"/>
        </w:rPr>
      </w:pPr>
      <w:r>
        <w:rPr>
          <w:b/>
          <w:bCs/>
          <w:color w:val="000000"/>
        </w:rPr>
        <w:t>dipendenti;</w:t>
      </w:r>
    </w:p>
    <w:p w:rsidR="00CE7AC2" w:rsidRDefault="00800D8C">
      <w:pPr>
        <w:numPr>
          <w:ilvl w:val="0"/>
          <w:numId w:val="4"/>
        </w:numPr>
        <w:pBdr>
          <w:top w:val="nil"/>
          <w:left w:val="nil"/>
          <w:bottom w:val="nil"/>
          <w:right w:val="nil"/>
          <w:between w:val="nil"/>
        </w:pBdr>
        <w:spacing w:before="0"/>
        <w:rPr>
          <w:b/>
          <w:bCs/>
          <w:color w:val="000000"/>
        </w:rPr>
      </w:pPr>
      <w:r>
        <w:rPr>
          <w:b/>
          <w:bCs/>
          <w:color w:val="000000"/>
        </w:rPr>
        <w:t>esperti e collaboratori esterni;</w:t>
      </w:r>
    </w:p>
    <w:p w:rsidR="00CE7AC2" w:rsidRDefault="00800D8C">
      <w:pPr>
        <w:numPr>
          <w:ilvl w:val="0"/>
          <w:numId w:val="4"/>
        </w:numPr>
        <w:pBdr>
          <w:top w:val="nil"/>
          <w:left w:val="nil"/>
          <w:bottom w:val="nil"/>
          <w:right w:val="nil"/>
          <w:between w:val="nil"/>
        </w:pBdr>
        <w:spacing w:before="0"/>
        <w:rPr>
          <w:b/>
          <w:bCs/>
          <w:color w:val="000000"/>
        </w:rPr>
      </w:pPr>
      <w:r>
        <w:rPr>
          <w:b/>
          <w:bCs/>
          <w:color w:val="000000"/>
        </w:rPr>
        <w:t>tirocinanti;</w:t>
      </w:r>
    </w:p>
    <w:p w:rsidR="00CE7AC2" w:rsidRDefault="00800D8C">
      <w:pPr>
        <w:numPr>
          <w:ilvl w:val="0"/>
          <w:numId w:val="4"/>
        </w:numPr>
        <w:pBdr>
          <w:top w:val="nil"/>
          <w:left w:val="nil"/>
          <w:bottom w:val="nil"/>
          <w:right w:val="nil"/>
          <w:between w:val="nil"/>
        </w:pBdr>
        <w:spacing w:before="0"/>
        <w:rPr>
          <w:b/>
          <w:bCs/>
          <w:color w:val="000000"/>
        </w:rPr>
      </w:pPr>
      <w:r>
        <w:rPr>
          <w:b/>
          <w:bCs/>
          <w:color w:val="000000"/>
        </w:rPr>
        <w:t>altro personale che svolge attività lavorative o di collaborazione presso la scuola.</w:t>
      </w:r>
    </w:p>
    <w:p w:rsidR="00CE7AC2" w:rsidRDefault="00800D8C">
      <w:pPr>
        <w:pStyle w:val="Titolo5"/>
      </w:pPr>
      <w:r>
        <w:t>Titolare del trattamento</w:t>
      </w:r>
    </w:p>
    <w:p w:rsidR="00CE7AC2" w:rsidRDefault="00800D8C">
      <w:r>
        <w:t>Il titolare del trattamento è l’Istituzione Scolastica legalmente rappresentata dal Dirigente Scolastico.</w:t>
      </w:r>
    </w:p>
    <w:p w:rsidR="00CE7AC2" w:rsidRDefault="00800D8C">
      <w:pPr>
        <w:pStyle w:val="Titolo5"/>
      </w:pPr>
      <w:r>
        <w:t>Responsabile della protezione dei dati</w:t>
      </w:r>
    </w:p>
    <w:p w:rsidR="00CE7AC2" w:rsidRDefault="00800D8C">
      <w:r>
        <w:t xml:space="preserve">Il responsabile della protezione dei dati è il Dott. Pier Giorgio Galli, e-mail </w:t>
      </w:r>
      <w:hyperlink r:id="rId7">
        <w:r>
          <w:rPr>
            <w:color w:val="0000FF"/>
            <w:u w:val="single"/>
          </w:rPr>
          <w:t>pggalli@gallilab.it</w:t>
        </w:r>
      </w:hyperlink>
      <w:r>
        <w:rPr>
          <w:color w:val="0000FF"/>
          <w:u w:val="single"/>
        </w:rPr>
        <w:t>,</w:t>
      </w:r>
      <w:r>
        <w:t xml:space="preserve"> pec </w:t>
      </w:r>
      <w:hyperlink r:id="rId8">
        <w:r>
          <w:rPr>
            <w:color w:val="0000FF"/>
            <w:u w:val="single"/>
          </w:rPr>
          <w:t>pggalli@pec.gallilab.it</w:t>
        </w:r>
      </w:hyperlink>
      <w:r>
        <w:t xml:space="preserve"> </w:t>
      </w:r>
    </w:p>
    <w:p w:rsidR="00CE7AC2" w:rsidRDefault="00800D8C">
      <w:pPr>
        <w:pStyle w:val="Titolo5"/>
      </w:pPr>
      <w:r>
        <w:t>Responsabili del trattamento</w:t>
      </w:r>
    </w:p>
    <w:p w:rsidR="00CE7AC2" w:rsidRDefault="00800D8C">
      <w:r>
        <w:t>I Responsabili del trattamento sono società esterne incaricate di gestire i dati personali per conto del Titolare del trattamento. In conformità con l'art. 28 GDPR, l'Istituzione scolastica ha nominato come Responsabili del trattamento le società che gestiscono il sistema di gestione documentale informatico.</w:t>
      </w:r>
    </w:p>
    <w:p w:rsidR="00CE7AC2" w:rsidRDefault="00800D8C">
      <w:pPr>
        <w:pStyle w:val="Titolo5"/>
      </w:pPr>
      <w:r>
        <w:t>Finalità del trattamento</w:t>
      </w:r>
    </w:p>
    <w:p w:rsidR="00CE7AC2" w:rsidRDefault="00800D8C">
      <w:r>
        <w:t>I dati personali degli interessati sono trattati dall'Istituzione scolastica per le seguenti finalità:</w:t>
      </w:r>
    </w:p>
    <w:p w:rsidR="00CE7AC2" w:rsidRDefault="00800D8C">
      <w:pPr>
        <w:numPr>
          <w:ilvl w:val="0"/>
          <w:numId w:val="1"/>
        </w:numPr>
        <w:pBdr>
          <w:top w:val="nil"/>
          <w:left w:val="nil"/>
          <w:bottom w:val="nil"/>
          <w:right w:val="nil"/>
          <w:between w:val="nil"/>
        </w:pBdr>
      </w:pPr>
      <w:r>
        <w:rPr>
          <w:color w:val="000000"/>
        </w:rPr>
        <w:t>gestione del rapporto di lavoro: amministrazione e gestione del personale e dei collaboratori esterni, inclusi il controllo delle presenze, dei permessi e delle ferie, quando applicabile;</w:t>
      </w:r>
    </w:p>
    <w:p w:rsidR="00CE7AC2" w:rsidRDefault="00800D8C">
      <w:pPr>
        <w:numPr>
          <w:ilvl w:val="0"/>
          <w:numId w:val="1"/>
        </w:numPr>
        <w:pBdr>
          <w:top w:val="nil"/>
          <w:left w:val="nil"/>
          <w:bottom w:val="nil"/>
          <w:right w:val="nil"/>
          <w:between w:val="nil"/>
        </w:pBdr>
        <w:spacing w:before="0"/>
      </w:pPr>
      <w:r>
        <w:rPr>
          <w:color w:val="000000"/>
        </w:rPr>
        <w:t>adempimenti legali e normativi: rispetto degli obblighi di legge in materia di lavoro, salute e sicurezza, compresi corsi di formazione e aggiornamento professionale per il personale e gestione della copertura assicurativa per i rischi connessi alle responsabilità quando applicabile;</w:t>
      </w:r>
    </w:p>
    <w:p w:rsidR="00CE7AC2" w:rsidRDefault="00800D8C">
      <w:pPr>
        <w:numPr>
          <w:ilvl w:val="0"/>
          <w:numId w:val="1"/>
        </w:numPr>
        <w:pBdr>
          <w:top w:val="nil"/>
          <w:left w:val="nil"/>
          <w:bottom w:val="nil"/>
          <w:right w:val="nil"/>
          <w:between w:val="nil"/>
        </w:pBdr>
        <w:spacing w:before="0"/>
      </w:pPr>
      <w:r>
        <w:rPr>
          <w:color w:val="000000"/>
        </w:rPr>
        <w:t>attività didattiche e formative: pianificazione e gestione delle attività didattiche e formative, comprese le relative attività amministrative come, a titolo esemplificativo ma non esaustivo, le verbalizzazioni degli organi collegiali;</w:t>
      </w:r>
    </w:p>
    <w:p w:rsidR="00CE7AC2" w:rsidRDefault="00800D8C">
      <w:pPr>
        <w:numPr>
          <w:ilvl w:val="0"/>
          <w:numId w:val="1"/>
        </w:numPr>
        <w:pBdr>
          <w:top w:val="nil"/>
          <w:left w:val="nil"/>
          <w:bottom w:val="nil"/>
          <w:right w:val="nil"/>
          <w:between w:val="nil"/>
        </w:pBdr>
        <w:spacing w:before="0"/>
      </w:pPr>
      <w:r>
        <w:rPr>
          <w:color w:val="000000"/>
        </w:rPr>
        <w:t>comunicazione interna: facilitazione della comunicazione tra il personale e gestione delle informazioni interne, incluse le comunicazioni istituzionali e aggiornamenti di servizio;</w:t>
      </w:r>
    </w:p>
    <w:p w:rsidR="00CE7AC2" w:rsidRDefault="00800D8C">
      <w:pPr>
        <w:numPr>
          <w:ilvl w:val="0"/>
          <w:numId w:val="1"/>
        </w:numPr>
        <w:pBdr>
          <w:top w:val="nil"/>
          <w:left w:val="nil"/>
          <w:bottom w:val="nil"/>
          <w:right w:val="nil"/>
          <w:between w:val="nil"/>
        </w:pBdr>
        <w:spacing w:before="0"/>
      </w:pPr>
      <w:r>
        <w:rPr>
          <w:color w:val="000000"/>
        </w:rPr>
        <w:t>gestione della salute e sicurezza: trattamento dei dati necessari per garantire un ambiente di lavoro sicuro e sano, in conformità con le normative di salute e sicurezza;</w:t>
      </w:r>
    </w:p>
    <w:p w:rsidR="00CE7AC2" w:rsidRDefault="00800D8C">
      <w:pPr>
        <w:numPr>
          <w:ilvl w:val="0"/>
          <w:numId w:val="1"/>
        </w:numPr>
        <w:pBdr>
          <w:top w:val="nil"/>
          <w:left w:val="nil"/>
          <w:bottom w:val="nil"/>
          <w:right w:val="nil"/>
          <w:between w:val="nil"/>
        </w:pBdr>
        <w:spacing w:before="0"/>
      </w:pPr>
      <w:r>
        <w:rPr>
          <w:color w:val="000000"/>
        </w:rPr>
        <w:lastRenderedPageBreak/>
        <w:t>partecipazione a progetti e iniziative: coinvolgimento in progetti scolastici, collaborazioni esterne e attività extra-curriculari, inclusa la promozione di eventi e iniziative della scuola;</w:t>
      </w:r>
    </w:p>
    <w:p w:rsidR="00CE7AC2" w:rsidRDefault="00800D8C">
      <w:pPr>
        <w:numPr>
          <w:ilvl w:val="0"/>
          <w:numId w:val="1"/>
        </w:numPr>
        <w:pBdr>
          <w:top w:val="nil"/>
          <w:left w:val="nil"/>
          <w:bottom w:val="nil"/>
          <w:right w:val="nil"/>
          <w:between w:val="nil"/>
        </w:pBdr>
        <w:spacing w:before="0"/>
      </w:pPr>
      <w:r>
        <w:rPr>
          <w:color w:val="000000"/>
        </w:rPr>
        <w:t>gestione delle emergenze: trattamento dei dati per la gestione di situazioni di emergenza o per garantire la sicurezza dei dipendenti e dei collaboratori esterni.</w:t>
      </w:r>
    </w:p>
    <w:p w:rsidR="00CE7AC2" w:rsidRDefault="00800D8C">
      <w:pPr>
        <w:pStyle w:val="Titolo5"/>
      </w:pPr>
      <w:r>
        <w:t>Modalità di trattamento</w:t>
      </w:r>
    </w:p>
    <w:p w:rsidR="00CE7AC2" w:rsidRDefault="00800D8C">
      <w:r>
        <w:t>I dati personali sono trattati dall’Istituzione Scolastica nel pieno rispetto dei principi di correttezza, liceità, adeguatezza e pertinenza del trattamento, nonché minimizzazione e necessità di cui al GDPR e saranno trattati attraverso strumenti automatizzati, nonché manualmente (ad es. su supporto cartaceo), con l’adozione di specifiche misure di sicurezza atte a evitare qualsiasi violazione dei dati personali quali perdita, usi illeciti o non corretti dei dati ed accessi non autorizzati.</w:t>
      </w:r>
    </w:p>
    <w:p w:rsidR="00CE7AC2" w:rsidRDefault="00800D8C">
      <w:r>
        <w:t xml:space="preserve">Nello specifico, il trattamento dei dati può essere effettuato oltre che su supporto cartaceo anche in modalità elettronica mediante registrazione, elaborazione ed archiviazione, con ausilio di strumenti informatici anche in ambienti on line. </w:t>
      </w:r>
    </w:p>
    <w:p w:rsidR="00CE7AC2" w:rsidRDefault="00800D8C">
      <w:r>
        <w:t xml:space="preserve">Sono dunque oggetto di trattamento i seguenti principali </w:t>
      </w:r>
      <w:r>
        <w:rPr>
          <w:b/>
          <w:bCs/>
        </w:rPr>
        <w:t>dati personali comuni</w:t>
      </w:r>
      <w:r>
        <w:t xml:space="preserve">: dati anagrafici, codice fiscale, recapiti telefonici e di posta elettronica, qualifica e ruolo, dati del contratto di lavoro o della prestazione, Curriculum vitae e documentazione relativa all’esperienza professionale se applicabile, dati relative a stipendi e compensi, richieste di ferie, permessi e assenze per malattia quando applicabile, documentazione sui corsi di formazione e aggiornamento professionale frequentati, credenziali per sistemi informatici e accesso ai servizi digitali dell’Istituzione, dati relativi a partecipazioni a progetti, eventi e iniziative scolastiche. Quando dovuto, vengono trattati i dati contenuti nel certificato del </w:t>
      </w:r>
      <w:r>
        <w:rPr>
          <w:b/>
          <w:bCs/>
        </w:rPr>
        <w:t>casellario giudiziario.</w:t>
      </w:r>
    </w:p>
    <w:p w:rsidR="00CE7AC2" w:rsidRDefault="00800D8C">
      <w:r>
        <w:t xml:space="preserve">Sono inoltre trattati dati personali </w:t>
      </w:r>
      <w:r>
        <w:rPr>
          <w:b/>
          <w:bCs/>
        </w:rPr>
        <w:t>sanitari o comunque idonei a rivelare lo stato di salute</w:t>
      </w:r>
      <w:r>
        <w:t xml:space="preserve"> di cui all’art 9. GDPR: dati contenuti in certificazioni mediche presentati a seguito di specifiche istanze (es. inabilità al lavoro) o per la gestione di incidenti sul lavoro e infortuni.</w:t>
      </w:r>
    </w:p>
    <w:p w:rsidR="00CE7AC2" w:rsidRDefault="00800D8C">
      <w:r>
        <w:t>Nell’ambito del trattamento sono raccolti solo i dati che sono adeguati, pertinenti e limitati a quanto necessario rispetto al perseguimento delle finalità del trattamento, i quali vengono trattati e conservati in conformità alle previsioni contenute nel GDPR.</w:t>
      </w:r>
    </w:p>
    <w:p w:rsidR="00CE7AC2" w:rsidRDefault="00800D8C">
      <w:pPr>
        <w:pStyle w:val="Titolo5"/>
      </w:pPr>
      <w:r>
        <w:t>Trattamento dei dati con sistemi di Intelligenza artificiale</w:t>
      </w:r>
    </w:p>
    <w:p w:rsidR="00CE7AC2" w:rsidRDefault="00800D8C">
      <w:pPr>
        <w:rPr>
          <w:color w:val="000000"/>
        </w:rPr>
      </w:pPr>
      <w:r>
        <w:rPr>
          <w:color w:val="000000"/>
        </w:rPr>
        <w:t>Nell’ambito delle proprie attività istituzionali, amministrative e organizzative, la scuola può utilizzare sistemi di Intelligenza Artificiale che comportano il trattamento di dati personali riferiti al personale scolastico.</w:t>
      </w:r>
    </w:p>
    <w:p w:rsidR="00CE7AC2" w:rsidRDefault="00800D8C">
      <w:pPr>
        <w:rPr>
          <w:color w:val="000000"/>
        </w:rPr>
      </w:pPr>
      <w:r>
        <w:rPr>
          <w:color w:val="000000"/>
        </w:rPr>
        <w:t xml:space="preserve">I dati personali del personale </w:t>
      </w:r>
      <w:r>
        <w:rPr>
          <w:color w:val="000000"/>
          <w:u w:val="single"/>
        </w:rPr>
        <w:t>non saranno utilizzati per l’addestramento dei modelli di Intelligenza Artificiale</w:t>
      </w:r>
      <w:r>
        <w:rPr>
          <w:color w:val="000000"/>
        </w:rPr>
        <w:t>.</w:t>
      </w:r>
    </w:p>
    <w:p w:rsidR="00CE7AC2" w:rsidRDefault="00800D8C">
      <w:pPr>
        <w:rPr>
          <w:color w:val="000000"/>
        </w:rPr>
      </w:pPr>
      <w:r>
        <w:rPr>
          <w:color w:val="000000"/>
        </w:rPr>
        <w:t xml:space="preserve">Inoltre, nei sistemi di IA </w:t>
      </w:r>
      <w:r>
        <w:rPr>
          <w:color w:val="000000"/>
          <w:u w:val="single"/>
        </w:rPr>
        <w:t>non vengono mai inserite né trattate categorie particolari di dati personali ai sensi dell’art. 9 del GDPR (c.d. dati sensibili)</w:t>
      </w:r>
      <w:r>
        <w:rPr>
          <w:color w:val="000000"/>
        </w:rPr>
        <w:t>, quali, ad esempio, dati relativi alla salute, all’appartenenza sindacale, alle convinzioni religiose o filosofiche, all’origine razziale o etnica, alla vita sessuale o all’orientamento sessuale.</w:t>
      </w:r>
    </w:p>
    <w:p w:rsidR="00CE7AC2" w:rsidRDefault="00800D8C">
      <w:pPr>
        <w:rPr>
          <w:color w:val="000000"/>
        </w:rPr>
      </w:pPr>
      <w:r>
        <w:rPr>
          <w:color w:val="000000"/>
        </w:rPr>
        <w:t>La scuola utilizza esclusivamente sistemi di IA preventivamente valutati e adottati dall’Istituzione scolastica, nel rispetto della normativa in materia di protezione dei dati personali e del Regolamento (UE) 2024/1689 sull’Intelligenza Artificiale.</w:t>
      </w:r>
    </w:p>
    <w:p w:rsidR="00CE7AC2" w:rsidRDefault="00800D8C">
      <w:pPr>
        <w:rPr>
          <w:color w:val="000000"/>
        </w:rPr>
      </w:pPr>
      <w:r>
        <w:rPr>
          <w:color w:val="000000"/>
        </w:rPr>
        <w:t>I sistemi di IA possono essere utilizzati per supportare il personale competente nella predisposizione, revisione, rielaborazione e sintesi di comunicazioni, atti, documenti amministrativi, schemi, elenchi, note operative e altra documentazione connessa alle attività istituzionali della scuola.</w:t>
      </w:r>
    </w:p>
    <w:p w:rsidR="00CE7AC2" w:rsidRDefault="00800D8C">
      <w:pPr>
        <w:rPr>
          <w:color w:val="000000"/>
        </w:rPr>
      </w:pPr>
      <w:r>
        <w:rPr>
          <w:color w:val="000000"/>
        </w:rPr>
        <w:t>Nello svolgimento di tali attività possono essere trattati esclusivamente dati personali comuni, quali dati identificativi, professionali e organizzativi riferiti al personale, nella misura strettamente necessaria rispetto alla specifica finalità perseguita.</w:t>
      </w:r>
    </w:p>
    <w:p w:rsidR="00CE7AC2" w:rsidRDefault="00800D8C">
      <w:pPr>
        <w:rPr>
          <w:color w:val="000000"/>
        </w:rPr>
      </w:pPr>
      <w:r>
        <w:rPr>
          <w:color w:val="000000"/>
        </w:rPr>
        <w:lastRenderedPageBreak/>
        <w:t>L’utilizzo dell’Intelligenza Artificiale non riduce i diritti e le garanzie riconosciuti al personale dalla normativa sulla protezione dei dati personali e dalla disciplina del rapporto di lavoro. Per maggiori informazioni sulle modalità di utilizzo dell’IA, sulle finalità ammesse, sui sistemi adottati, sui limiti e sulle misure di tutela previste, è possibile consultare il Regolamento d’Istituto per l’utilizzo dell’Intelligenza Artificiale, disponibile e scaricabile nella sezione “Amministrazione Trasparente” del sito istituzionale della scuola.</w:t>
      </w:r>
    </w:p>
    <w:p w:rsidR="00CE7AC2" w:rsidRDefault="00800D8C">
      <w:pPr>
        <w:pStyle w:val="Titolo5"/>
      </w:pPr>
      <w:r>
        <w:t xml:space="preserve">Base giuridica </w:t>
      </w:r>
    </w:p>
    <w:p w:rsidR="00CE7AC2" w:rsidRDefault="00800D8C">
      <w:r>
        <w:t xml:space="preserve">La base giuridica del trattamento è rappresentata: </w:t>
      </w:r>
    </w:p>
    <w:p w:rsidR="00CE7AC2" w:rsidRDefault="00800D8C">
      <w:pPr>
        <w:numPr>
          <w:ilvl w:val="0"/>
          <w:numId w:val="2"/>
        </w:numPr>
        <w:pBdr>
          <w:top w:val="nil"/>
          <w:left w:val="nil"/>
          <w:bottom w:val="nil"/>
          <w:right w:val="nil"/>
          <w:between w:val="nil"/>
        </w:pBdr>
      </w:pPr>
      <w:r>
        <w:rPr>
          <w:color w:val="000000"/>
        </w:rPr>
        <w:t xml:space="preserve">per i </w:t>
      </w:r>
      <w:r>
        <w:rPr>
          <w:b/>
          <w:bCs/>
          <w:color w:val="000000"/>
        </w:rPr>
        <w:t>dati personali comuni,</w:t>
      </w:r>
      <w:r>
        <w:rPr>
          <w:color w:val="000000"/>
        </w:rPr>
        <w:t xml:space="preserve"> dall’esecuzione di un compito di interesse pubblico o connesso all’esercizio di pubblici poteri di cui è investito il Titolare, e/o per l’esecuzione di un contratto di cui l’interessato è parte o all’esecuzione di misure precontrattuali, e/o per l’adempimento di obblighi legali ai sensi dall'art. 6 par. 1 lett. b), c) ed e) del GDPR;</w:t>
      </w:r>
    </w:p>
    <w:p w:rsidR="00CE7AC2" w:rsidRDefault="00800D8C">
      <w:pPr>
        <w:numPr>
          <w:ilvl w:val="0"/>
          <w:numId w:val="2"/>
        </w:numPr>
        <w:pBdr>
          <w:top w:val="nil"/>
          <w:left w:val="nil"/>
          <w:bottom w:val="nil"/>
          <w:right w:val="nil"/>
          <w:between w:val="nil"/>
        </w:pBdr>
        <w:spacing w:before="0"/>
      </w:pPr>
      <w:r>
        <w:rPr>
          <w:color w:val="000000"/>
        </w:rPr>
        <w:t xml:space="preserve">per i </w:t>
      </w:r>
      <w:r>
        <w:rPr>
          <w:b/>
          <w:bCs/>
          <w:color w:val="000000"/>
        </w:rPr>
        <w:t>dati giudiziari</w:t>
      </w:r>
      <w:r>
        <w:rPr>
          <w:color w:val="000000"/>
        </w:rPr>
        <w:t xml:space="preserve"> ai sensi dall'art. 11 del GDPR;</w:t>
      </w:r>
    </w:p>
    <w:p w:rsidR="00CE7AC2" w:rsidRDefault="00800D8C">
      <w:pPr>
        <w:numPr>
          <w:ilvl w:val="0"/>
          <w:numId w:val="2"/>
        </w:numPr>
        <w:pBdr>
          <w:top w:val="nil"/>
          <w:left w:val="nil"/>
          <w:bottom w:val="nil"/>
          <w:right w:val="nil"/>
          <w:between w:val="nil"/>
        </w:pBdr>
        <w:spacing w:before="0"/>
      </w:pPr>
      <w:r>
        <w:rPr>
          <w:color w:val="000000"/>
        </w:rPr>
        <w:t xml:space="preserve">per le categorie particolari di dati, come i </w:t>
      </w:r>
      <w:r>
        <w:rPr>
          <w:b/>
          <w:bCs/>
          <w:color w:val="000000"/>
        </w:rPr>
        <w:t>dati personali sanitari o comunque idonei a rivelare lo stato di salute</w:t>
      </w:r>
      <w:r>
        <w:rPr>
          <w:color w:val="000000"/>
        </w:rPr>
        <w:t>, da motivi di interesse pubblico rilevante sulla base del diritto dell’Unione o degli Stati membri, ai sensi dell’art. 9, par. 2, lettere g) del GDPR, nonché dall’art. 2 – sexies del Decreto legislativo n. 196 del 30 giugno 2003.</w:t>
      </w:r>
    </w:p>
    <w:p w:rsidR="00CE7AC2" w:rsidRDefault="00800D8C">
      <w:r>
        <w:t xml:space="preserve">Poiché il trattamento è necessario per l’esecuzione di un compito di interesse pubblico e/o per l’esecuzione di un contratto e/o per l’adempimento di obblighi legali, </w:t>
      </w:r>
      <w:r>
        <w:rPr>
          <w:b/>
          <w:bCs/>
        </w:rPr>
        <w:t>non è richiesto il consenso dell’interessato</w:t>
      </w:r>
      <w:r>
        <w:t>.</w:t>
      </w:r>
    </w:p>
    <w:p w:rsidR="00CE7AC2" w:rsidRDefault="00800D8C">
      <w:pPr>
        <w:pStyle w:val="Titolo5"/>
      </w:pPr>
      <w:r>
        <w:t>Obbligo di fornire i dati personali</w:t>
      </w:r>
    </w:p>
    <w:p w:rsidR="00CE7AC2" w:rsidRDefault="00800D8C">
      <w:r>
        <w:t>Il conferimento dei dati personali al Titolare è obbligatorio per il perseguimento delle finalità di trattamento indicate nella presente informativa. L'eventuale rifiuto di fornire tali dati potrebbe impedire la corretta instaurazione o prosecuzione del rapporto di lavoro o di collaborazione, nonché l'adempimento degli obblighi contrattuali e legali da parte del Titolare.</w:t>
      </w:r>
    </w:p>
    <w:p w:rsidR="00CE7AC2" w:rsidRDefault="00800D8C">
      <w:pPr>
        <w:pStyle w:val="Titolo5"/>
      </w:pPr>
      <w:r>
        <w:t>Dati dell’interessato ottenuti direttamente da altre pubbliche amministrazioni</w:t>
      </w:r>
    </w:p>
    <w:p w:rsidR="00CE7AC2" w:rsidRDefault="00800D8C">
      <w:pPr>
        <w:pStyle w:val="Titolo5"/>
        <w:keepNext w:val="0"/>
        <w:jc w:val="both"/>
        <w:rPr>
          <w:b w:val="0"/>
          <w:bCs w:val="0"/>
          <w:sz w:val="20"/>
          <w:szCs w:val="20"/>
        </w:rPr>
      </w:pPr>
      <w:r>
        <w:rPr>
          <w:b w:val="0"/>
          <w:bCs w:val="0"/>
          <w:sz w:val="20"/>
          <w:szCs w:val="20"/>
        </w:rPr>
        <w:t>L'Istituzione Scolastica può ottenere dati personali direttamente da altre pubbliche amministrazioni, tra cui, a titolo esemplificativo ma non esaustivo: dati relativi a precedenti carriere lavorative forniti da altre istituzioni scolastiche, dati forniti dall'INPS, dati forniti dall'INAIL, certificato del casellario giudiziario fornito dal Tribunale. Inoltre, l'Istituzione Scolastica potrebbe acquisire i dati personali da altre pubbliche amministrazioni quando necessario per verificare la veridicità delle eventuali autocertificazioni presentate.</w:t>
      </w:r>
    </w:p>
    <w:p w:rsidR="00CE7AC2" w:rsidRDefault="00800D8C">
      <w:pPr>
        <w:pStyle w:val="Titolo5"/>
      </w:pPr>
      <w:r>
        <w:t>Soggetti autorizzati al trattamento dei dati personali</w:t>
      </w:r>
    </w:p>
    <w:p w:rsidR="00CE7AC2" w:rsidRDefault="00800D8C">
      <w:pPr>
        <w:spacing w:after="3" w:line="233" w:lineRule="auto"/>
        <w:ind w:left="11" w:right="3"/>
      </w:pPr>
      <w:r>
        <w:t>Nel rispetto delle finalità sopra descritte, i dati personali potranno essere trattati dal personale scolastico, nei limiti delle proprie competenze, appositamente istruito dal Titolare del trattamento, nonché dal personale dei Responsabili del trattamento, selezionato e formato da questi ultimi.</w:t>
      </w:r>
    </w:p>
    <w:p w:rsidR="00CE7AC2" w:rsidRDefault="00800D8C">
      <w:pPr>
        <w:pStyle w:val="Titolo5"/>
      </w:pPr>
      <w:r>
        <w:t>Destinatari dei dati personali</w:t>
      </w:r>
    </w:p>
    <w:p w:rsidR="00CE7AC2" w:rsidRDefault="00800D8C">
      <w:r>
        <w:t>I soggetti a cui i dati personali potranno essere comunicati all'interno dell'Istituzione Scolastica sono: il Dirigente Scolastico, il personale ATA, il personale docente e altro personale autorizzato, ciascuno limitatamente al proprio ambito di competenza.</w:t>
      </w:r>
    </w:p>
    <w:p w:rsidR="00CE7AC2" w:rsidRDefault="00800D8C">
      <w:r>
        <w:t xml:space="preserve">I dati personali potranno essere comunicati a enti pubblici o soggetti privati esclusivamente nei casi previsti dalla normativa vigente o per l'adempimento di obblighi contrattuali. Tra i destinatari rientrano, a titolo esemplificativo ma non esaustivo, enti pubblici come le articolazioni del Ministero della Pubblica Istruzione e del Merito, INPS, INAIL, l'Azienda </w:t>
      </w:r>
      <w:r>
        <w:lastRenderedPageBreak/>
        <w:t>Sanitaria Locale, Amministrazioni locali, compagnie assicurative, e fornitori di servizi per l'organizzazione di attività extrascolastiche, corsi di formazione o aggiornamento professionale, nonché per la manutenzione dell'infrastruttura informatica. Alcuni dati potranno inoltre essere condivisi con professionisti esterni, tra cui l'RSPP e il Responsabile della Protezione dei Dati.</w:t>
      </w:r>
    </w:p>
    <w:p w:rsidR="00CE7AC2" w:rsidRDefault="00800D8C">
      <w:r>
        <w:t>I dati trattati con modalità informatiche potranno essere archiviati su server di fornitori di servizi situati sia all'interno che all'esterno del territorio dell'UE. Questi fornitori agiranno in qualità di Responsabili del trattamento, garantendo il rispetto delle normative vigenti in materia di protezione dei dati.</w:t>
      </w:r>
    </w:p>
    <w:p w:rsidR="00CE7AC2" w:rsidRDefault="00800D8C">
      <w:pPr>
        <w:pStyle w:val="Titolo5"/>
      </w:pPr>
      <w:r>
        <w:t>Trasferimento di dati personali verso paesi terzi o organizzazioni internazionali</w:t>
      </w:r>
    </w:p>
    <w:p w:rsidR="00CE7AC2" w:rsidRDefault="00800D8C">
      <w:pPr>
        <w:pBdr>
          <w:top w:val="nil"/>
          <w:left w:val="nil"/>
          <w:bottom w:val="nil"/>
          <w:right w:val="nil"/>
          <w:between w:val="nil"/>
        </w:pBdr>
        <w:spacing w:before="144"/>
        <w:rPr>
          <w:color w:val="000000"/>
          <w:highlight w:val="cyan"/>
        </w:rPr>
      </w:pPr>
      <w:r>
        <w:rPr>
          <w:color w:val="000000"/>
        </w:rPr>
        <w:t>L’Istituzione scolastica utilizza piattaforme basate su cloud che potrebbero comportare il trasferimento di dati personali al di fuori dell'Unione Europea. Questo trasferimento è regolato dalla Decisione di adeguatezza denominata 'Data Privacy Framework (DPF)', adottata dalla Commissione Europea il 10 luglio 2023. Per accedere a tali piattaforme, la scuola fornisce al personale che opera presso l’Istituzione scolastica credenziali di autenticazione individuali collegate ad una casella di posta elettronica. Al termine del rapporto con questa Istituzione scolastica, le credenziali vengono disattivate e i contenuti digitali ad esse associati vengono eliminati.</w:t>
      </w:r>
    </w:p>
    <w:p w:rsidR="00CE7AC2" w:rsidRDefault="00800D8C">
      <w:pPr>
        <w:pStyle w:val="Titolo5"/>
      </w:pPr>
      <w:r>
        <w:t xml:space="preserve">Periodo di conservazione </w:t>
      </w:r>
    </w:p>
    <w:p w:rsidR="00CE7AC2" w:rsidRDefault="00800D8C">
      <w:r>
        <w:t>Ai sensi dell’art. 5, par. 1, lettera e), del GDPR, 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CE7AC2" w:rsidRDefault="00800D8C">
      <w:pPr>
        <w:pStyle w:val="Titolo5"/>
      </w:pPr>
      <w:r>
        <w:t xml:space="preserve">Diritti degli interessati </w:t>
      </w:r>
    </w:p>
    <w:p w:rsidR="00CE7AC2" w:rsidRDefault="00800D8C">
      <w:pPr>
        <w:pStyle w:val="Titolo4"/>
        <w:keepNext w:val="0"/>
        <w:rPr>
          <w:b w:val="0"/>
          <w:bCs w:val="0"/>
        </w:rPr>
      </w:pPr>
      <w:r>
        <w:rPr>
          <w:b w:val="0"/>
          <w:bCs w:val="0"/>
        </w:rPr>
        <w:t>Gli Interessati hanno la facoltà di esercitare in qualsiasi momento i diritti previsti dagli artt. 15 e ss. del Regolamento UE n. 679/2016, ove applicabili, rivolgendosi ai Titolari come sopra individuati e nelle modalità sopra esposte. In particolare, il suddetto Regolamento disciplina, al Capo III, i diritti e le modalità di esercizio degli stessi ed attribuisce ai soggetti Interessati quanto segue:</w:t>
      </w:r>
    </w:p>
    <w:p w:rsidR="00CE7AC2" w:rsidRDefault="00800D8C">
      <w:pPr>
        <w:pStyle w:val="Titolo4"/>
        <w:keepNext w:val="0"/>
        <w:numPr>
          <w:ilvl w:val="0"/>
          <w:numId w:val="3"/>
        </w:numPr>
        <w:rPr>
          <w:b w:val="0"/>
          <w:bCs w:val="0"/>
        </w:rPr>
      </w:pPr>
      <w:r>
        <w:rPr>
          <w:b w:val="0"/>
          <w:bCs w:val="0"/>
        </w:rPr>
        <w:t>diritto di accesso (art. 15 del Regolamento (UE) 2016/679), ovvero di ottenere in particolare: la conferma dell’esistenza dei dati personali; l’indicazione dell’origine e delle categorie di dati personali, della finalità e della modalità del loro trattamento; la logica applicata in caso di trattamento effettuato con l’ausilio di strumenti elettronici; gli estremi identificativi dei Titolari del trattamento dei dati personali, dei Responsabili del trattamento dei dati personali e dei soggetti o categorie di soggetti ai quali i dati sono stati o possono essere comunicati; il periodo di conservazione;</w:t>
      </w:r>
    </w:p>
    <w:p w:rsidR="00CE7AC2" w:rsidRDefault="00800D8C">
      <w:pPr>
        <w:pStyle w:val="Titolo4"/>
        <w:keepNext w:val="0"/>
        <w:numPr>
          <w:ilvl w:val="0"/>
          <w:numId w:val="3"/>
        </w:numPr>
        <w:rPr>
          <w:b w:val="0"/>
          <w:bCs w:val="0"/>
        </w:rPr>
      </w:pPr>
      <w:r>
        <w:rPr>
          <w:b w:val="0"/>
          <w:bCs w:val="0"/>
        </w:rPr>
        <w:t>diritto di rettifica (art. 16 del Regolamento (UE) 2016/679);</w:t>
      </w:r>
    </w:p>
    <w:p w:rsidR="00CE7AC2" w:rsidRDefault="00800D8C">
      <w:pPr>
        <w:pStyle w:val="Titolo4"/>
        <w:keepNext w:val="0"/>
        <w:numPr>
          <w:ilvl w:val="0"/>
          <w:numId w:val="3"/>
        </w:numPr>
        <w:rPr>
          <w:b w:val="0"/>
          <w:bCs w:val="0"/>
        </w:rPr>
      </w:pPr>
      <w:r>
        <w:rPr>
          <w:b w:val="0"/>
          <w:bCs w:val="0"/>
        </w:rPr>
        <w:t>diritto alla cancellazione (art. 17 del Regolamento (UE) 2016/679);</w:t>
      </w:r>
    </w:p>
    <w:p w:rsidR="00CE7AC2" w:rsidRDefault="00800D8C">
      <w:pPr>
        <w:pStyle w:val="Titolo4"/>
        <w:keepNext w:val="0"/>
        <w:numPr>
          <w:ilvl w:val="0"/>
          <w:numId w:val="3"/>
        </w:numPr>
        <w:rPr>
          <w:b w:val="0"/>
          <w:bCs w:val="0"/>
        </w:rPr>
      </w:pPr>
      <w:r>
        <w:rPr>
          <w:b w:val="0"/>
          <w:bCs w:val="0"/>
        </w:rPr>
        <w:t>diritto di limitazione di trattamento (art. 18 del Regolamento (UE) 2016/679);</w:t>
      </w:r>
    </w:p>
    <w:p w:rsidR="00CE7AC2" w:rsidRDefault="00800D8C">
      <w:pPr>
        <w:pStyle w:val="Titolo4"/>
        <w:keepNext w:val="0"/>
        <w:numPr>
          <w:ilvl w:val="0"/>
          <w:numId w:val="3"/>
        </w:numPr>
        <w:rPr>
          <w:b w:val="0"/>
          <w:bCs w:val="0"/>
        </w:rPr>
      </w:pPr>
      <w:r>
        <w:rPr>
          <w:b w:val="0"/>
          <w:bCs w:val="0"/>
        </w:rPr>
        <w:t>diritto alla portabilità dei dati (art. 20 del Regolamento (UE) 2016/679);</w:t>
      </w:r>
    </w:p>
    <w:p w:rsidR="00CE7AC2" w:rsidRDefault="00800D8C">
      <w:pPr>
        <w:pStyle w:val="Titolo4"/>
        <w:keepNext w:val="0"/>
        <w:numPr>
          <w:ilvl w:val="0"/>
          <w:numId w:val="3"/>
        </w:numPr>
        <w:rPr>
          <w:b w:val="0"/>
          <w:bCs w:val="0"/>
        </w:rPr>
      </w:pPr>
      <w:r>
        <w:rPr>
          <w:b w:val="0"/>
          <w:bCs w:val="0"/>
        </w:rPr>
        <w:t>diritto di opposizione (art. 21 del Regolamento (UE) 2016/679);</w:t>
      </w:r>
    </w:p>
    <w:p w:rsidR="00CE7AC2" w:rsidRDefault="00800D8C">
      <w:pPr>
        <w:pStyle w:val="Titolo4"/>
        <w:keepNext w:val="0"/>
        <w:numPr>
          <w:ilvl w:val="0"/>
          <w:numId w:val="3"/>
        </w:numPr>
        <w:rPr>
          <w:b w:val="0"/>
          <w:bCs w:val="0"/>
        </w:rPr>
      </w:pPr>
      <w:r>
        <w:rPr>
          <w:b w:val="0"/>
          <w:bCs w:val="0"/>
        </w:rPr>
        <w:lastRenderedPageBreak/>
        <w:t>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rsidR="00CE7AC2" w:rsidRDefault="00800D8C">
      <w:pPr>
        <w:pStyle w:val="Titolo4"/>
        <w:keepNext w:val="0"/>
        <w:rPr>
          <w:b w:val="0"/>
          <w:bCs w:val="0"/>
        </w:rPr>
      </w:pPr>
      <w:r>
        <w:rPr>
          <w:b w:val="0"/>
          <w:bCs w:val="0"/>
        </w:rPr>
        <w:t>In relazione al trattamento dei dati che lo riguardano, l’interessato si potrà rivolgere al Titolare del trattamento per esercitare i Suoi diritti.</w:t>
      </w:r>
    </w:p>
    <w:p w:rsidR="00CE7AC2" w:rsidRDefault="00800D8C">
      <w:pPr>
        <w:pStyle w:val="Titolo5"/>
      </w:pPr>
      <w:r>
        <w:t xml:space="preserve">Diritto di proporre reclamo </w:t>
      </w:r>
    </w:p>
    <w:p w:rsidR="00CE7AC2" w:rsidRDefault="00800D8C">
      <w:pPr>
        <w:ind w:left="-6" w:right="17"/>
      </w:pPr>
      <w:r>
        <w:t>Gli Interessati, nel caso in cui ritengano che il trattamento dei dati personali a loro riferiti sia compiuto in violazione di quanto previsto dal Regolamento (UE) 2016/679, hanno il diritto di proporre reclamo al Garante, come previsto dall'art. 77 del predetto Regolamento, o di adire le opportune sedi giudiziarie ai sensi dell'art. 79 dello stesso.</w:t>
      </w:r>
    </w:p>
    <w:p w:rsidR="0010281D" w:rsidRDefault="0010281D">
      <w:pPr>
        <w:ind w:left="-6" w:right="17"/>
      </w:pPr>
    </w:p>
    <w:p w:rsidR="00CE7AC2" w:rsidRDefault="00800D8C">
      <w:pPr>
        <w:pStyle w:val="Titolo5"/>
      </w:pPr>
      <w:r>
        <w:t>Processo decisionale automatizzato</w:t>
      </w:r>
    </w:p>
    <w:p w:rsidR="00CE7AC2" w:rsidRDefault="00800D8C">
      <w:pPr>
        <w:pStyle w:val="Titolo5"/>
        <w:keepNext w:val="0"/>
        <w:jc w:val="both"/>
        <w:rPr>
          <w:b w:val="0"/>
          <w:bCs w:val="0"/>
          <w:sz w:val="20"/>
          <w:szCs w:val="20"/>
        </w:rPr>
      </w:pPr>
      <w:r>
        <w:rPr>
          <w:b w:val="0"/>
          <w:bCs w:val="0"/>
          <w:sz w:val="20"/>
          <w:szCs w:val="20"/>
        </w:rPr>
        <w:t xml:space="preserve">Non sono previsti processi decisionali automatizzati. </w:t>
      </w:r>
    </w:p>
    <w:p w:rsidR="00CE7AC2" w:rsidRDefault="00CE7AC2">
      <w:pPr>
        <w:spacing w:after="265"/>
        <w:ind w:left="-5" w:right="18"/>
      </w:pPr>
    </w:p>
    <w:p w:rsidR="00CE7AC2" w:rsidRDefault="00800D8C">
      <w:pPr>
        <w:spacing w:after="265"/>
        <w:ind w:left="-5" w:right="18"/>
      </w:pPr>
      <w:r>
        <w:t>Ultimo aggiornamento, 1</w:t>
      </w:r>
      <w:r w:rsidR="0010281D">
        <w:t>/09</w:t>
      </w:r>
      <w:r>
        <w:t>/2026</w:t>
      </w:r>
    </w:p>
    <w:p w:rsidR="00CE7AC2" w:rsidRDefault="00800D8C">
      <w:pPr>
        <w:shd w:val="clear" w:color="auto" w:fill="FFFFFF"/>
        <w:spacing w:before="0"/>
        <w:ind w:left="3930"/>
        <w:jc w:val="center"/>
        <w:rPr>
          <w:rFonts w:ascii="Calibri" w:eastAsia="Calibri" w:hAnsi="Calibri" w:cs="Calibri"/>
          <w:b/>
          <w:bCs/>
          <w:color w:val="000000"/>
        </w:rPr>
      </w:pPr>
      <w:bookmarkStart w:id="1" w:name="_rdp6ln19usu5" w:colFirst="0" w:colLast="0"/>
      <w:bookmarkEnd w:id="1"/>
      <w:r>
        <w:rPr>
          <w:rFonts w:ascii="Calibri" w:eastAsia="Calibri" w:hAnsi="Calibri" w:cs="Calibri"/>
          <w:b/>
          <w:bCs/>
          <w:color w:val="000000"/>
        </w:rPr>
        <w:t>IL DIRIGENTE SCOLASTICO</w:t>
      </w:r>
    </w:p>
    <w:p w:rsidR="00CE7AC2" w:rsidRDefault="00800D8C">
      <w:pPr>
        <w:shd w:val="clear" w:color="auto" w:fill="FFFFFF"/>
        <w:spacing w:before="0"/>
        <w:ind w:left="3930"/>
        <w:jc w:val="center"/>
        <w:rPr>
          <w:rFonts w:ascii="Calibri" w:eastAsia="Calibri" w:hAnsi="Calibri" w:cs="Calibri"/>
          <w:b/>
          <w:bCs/>
          <w:color w:val="000000"/>
        </w:rPr>
      </w:pPr>
      <w:r>
        <w:rPr>
          <w:rFonts w:ascii="Calibri" w:eastAsia="Calibri" w:hAnsi="Calibri" w:cs="Calibri"/>
          <w:b/>
          <w:bCs/>
          <w:color w:val="000000"/>
        </w:rPr>
        <w:t>Maria Cristina Baleani</w:t>
      </w:r>
    </w:p>
    <w:p w:rsidR="00CE7AC2" w:rsidRDefault="00800D8C">
      <w:pPr>
        <w:shd w:val="clear" w:color="auto" w:fill="FFFFFF"/>
        <w:spacing w:before="0"/>
        <w:jc w:val="left"/>
        <w:rPr>
          <w:rFonts w:ascii="Calibri" w:eastAsia="Calibri" w:hAnsi="Calibri" w:cs="Calibri"/>
          <w:color w:val="000000"/>
        </w:rPr>
      </w:pPr>
      <w:r>
        <w:rPr>
          <w:rFonts w:ascii="Calibri" w:eastAsia="Calibri" w:hAnsi="Calibri" w:cs="Calibri"/>
          <w:color w:val="000000"/>
        </w:rPr>
        <w:t> </w:t>
      </w:r>
    </w:p>
    <w:p w:rsidR="00CE7AC2" w:rsidRDefault="00CE7AC2">
      <w:pPr>
        <w:spacing w:line="259" w:lineRule="auto"/>
        <w:ind w:left="5812" w:right="1133"/>
        <w:jc w:val="center"/>
        <w:rPr>
          <w:color w:val="FF0000"/>
        </w:rPr>
      </w:pPr>
    </w:p>
    <w:sectPr w:rsidR="00CE7AC2">
      <w:headerReference w:type="default" r:id="rId9"/>
      <w:footerReference w:type="default" r:id="rId10"/>
      <w:pgSz w:w="11906" w:h="16838"/>
      <w:pgMar w:top="1077" w:right="1134" w:bottom="1259" w:left="1134" w:header="57" w:footer="51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468" w:rsidRDefault="009E5468">
      <w:pPr>
        <w:spacing w:before="0"/>
      </w:pPr>
      <w:r>
        <w:separator/>
      </w:r>
    </w:p>
  </w:endnote>
  <w:endnote w:type="continuationSeparator" w:id="0">
    <w:p w:rsidR="009E5468" w:rsidRDefault="009E546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4BD75628-A5E1-4352-A6CD-C2B829B6FC8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2" w:fontKey="{94204EC4-8A55-4D45-9EF6-EE99E40718ED}"/>
  </w:font>
  <w:font w:name="Georgia">
    <w:panose1 w:val="02040502050405020303"/>
    <w:charset w:val="00"/>
    <w:family w:val="roman"/>
    <w:pitch w:val="variable"/>
    <w:sig w:usb0="00000287" w:usb1="00000000" w:usb2="00000000" w:usb3="00000000" w:csb0="0000009F" w:csb1="00000000"/>
    <w:embedItalic r:id="rId3" w:fontKey="{5B594C06-BA7F-4ED6-BD9B-E2F70F5AB172}"/>
  </w:font>
  <w:font w:name="Calibri">
    <w:panose1 w:val="020F0502020204030204"/>
    <w:charset w:val="00"/>
    <w:family w:val="swiss"/>
    <w:pitch w:val="variable"/>
    <w:sig w:usb0="E4002EFF" w:usb1="C200247B" w:usb2="00000009" w:usb3="00000000" w:csb0="000001FF" w:csb1="00000000"/>
    <w:embedRegular r:id="rId4" w:fontKey="{D89A4600-7D97-4BC0-BBD1-01A509F5A68C}"/>
    <w:embedBold r:id="rId5" w:fontKey="{25FA237B-E2A5-4590-A0DF-8F1A0CC7203E}"/>
  </w:font>
  <w:font w:name="Cambria">
    <w:panose1 w:val="02040503050406030204"/>
    <w:charset w:val="00"/>
    <w:family w:val="roman"/>
    <w:pitch w:val="variable"/>
    <w:sig w:usb0="E00006FF" w:usb1="420024FF" w:usb2="02000000" w:usb3="00000000" w:csb0="0000019F" w:csb1="00000000"/>
    <w:embedRegular r:id="rId6" w:fontKey="{F5A1070D-BD7E-4036-91C3-6626141463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AC2" w:rsidRDefault="00800D8C">
    <w:pPr>
      <w:pBdr>
        <w:top w:val="nil"/>
        <w:left w:val="nil"/>
        <w:bottom w:val="nil"/>
        <w:right w:val="nil"/>
        <w:between w:val="nil"/>
      </w:pBdr>
      <w:tabs>
        <w:tab w:val="center" w:pos="4819"/>
        <w:tab w:val="right" w:pos="9638"/>
        <w:tab w:val="left" w:pos="516"/>
      </w:tabs>
      <w:rPr>
        <w:color w:val="000000"/>
        <w:sz w:val="16"/>
        <w:szCs w:val="16"/>
      </w:rPr>
    </w:pPr>
    <w:r>
      <w:rPr>
        <w:color w:val="000000"/>
        <w:sz w:val="16"/>
        <w:szCs w:val="16"/>
      </w:rPr>
      <w:tab/>
    </w:r>
  </w:p>
  <w:tbl>
    <w:tblPr>
      <w:tblStyle w:val="a"/>
      <w:tblW w:w="9616" w:type="dxa"/>
      <w:tblInd w:w="-115" w:type="dxa"/>
      <w:tblLayout w:type="fixed"/>
      <w:tblLook w:val="0000" w:firstRow="0" w:lastRow="0" w:firstColumn="0" w:lastColumn="0" w:noHBand="0" w:noVBand="0"/>
    </w:tblPr>
    <w:tblGrid>
      <w:gridCol w:w="880"/>
      <w:gridCol w:w="705"/>
      <w:gridCol w:w="704"/>
      <w:gridCol w:w="705"/>
      <w:gridCol w:w="705"/>
      <w:gridCol w:w="705"/>
      <w:gridCol w:w="563"/>
      <w:gridCol w:w="1691"/>
      <w:gridCol w:w="845"/>
      <w:gridCol w:w="1127"/>
      <w:gridCol w:w="986"/>
    </w:tblGrid>
    <w:tr w:rsidR="00CE7AC2">
      <w:trPr>
        <w:trHeight w:val="800"/>
      </w:trPr>
      <w:tc>
        <w:tcPr>
          <w:tcW w:w="880" w:type="dxa"/>
          <w:shd w:val="clear" w:color="auto" w:fill="auto"/>
          <w:tcMar>
            <w:top w:w="0" w:type="dxa"/>
            <w:left w:w="108" w:type="dxa"/>
            <w:bottom w:w="0" w:type="dxa"/>
            <w:right w:w="108" w:type="dxa"/>
          </w:tcMar>
          <w:vAlign w:val="center"/>
        </w:tcPr>
        <w:p w:rsidR="00CE7AC2" w:rsidRDefault="00800D8C">
          <w:pPr>
            <w:tabs>
              <w:tab w:val="left" w:pos="5645"/>
              <w:tab w:val="left" w:pos="8413"/>
            </w:tabs>
          </w:pPr>
          <w:r>
            <w:rPr>
              <w:b/>
              <w:bCs/>
              <w:noProof/>
              <w:sz w:val="16"/>
              <w:szCs w:val="16"/>
              <w:lang w:val="it-IT"/>
            </w:rPr>
            <w:drawing>
              <wp:inline distT="0" distB="0" distL="0" distR="0">
                <wp:extent cx="492678" cy="283153"/>
                <wp:effectExtent l="0" t="0" r="0" b="0"/>
                <wp:docPr id="7" name="image9.jpg" descr="Risultati immagini per clil"/>
                <wp:cNvGraphicFramePr/>
                <a:graphic xmlns:a="http://schemas.openxmlformats.org/drawingml/2006/main">
                  <a:graphicData uri="http://schemas.openxmlformats.org/drawingml/2006/picture">
                    <pic:pic xmlns:pic="http://schemas.openxmlformats.org/drawingml/2006/picture">
                      <pic:nvPicPr>
                        <pic:cNvPr id="0" name="image9.jpg" descr="Risultati immagini per clil"/>
                        <pic:cNvPicPr preferRelativeResize="0"/>
                      </pic:nvPicPr>
                      <pic:blipFill>
                        <a:blip r:embed="rId1"/>
                        <a:srcRect/>
                        <a:stretch>
                          <a:fillRect/>
                        </a:stretch>
                      </pic:blipFill>
                      <pic:spPr>
                        <a:xfrm>
                          <a:off x="0" y="0"/>
                          <a:ext cx="492678" cy="283153"/>
                        </a:xfrm>
                        <a:prstGeom prst="rect">
                          <a:avLst/>
                        </a:prstGeom>
                        <a:ln/>
                      </pic:spPr>
                    </pic:pic>
                  </a:graphicData>
                </a:graphic>
              </wp:inline>
            </w:drawing>
          </w:r>
        </w:p>
      </w:tc>
      <w:tc>
        <w:tcPr>
          <w:tcW w:w="705" w:type="dxa"/>
          <w:shd w:val="clear" w:color="auto" w:fill="auto"/>
          <w:tcMar>
            <w:top w:w="0" w:type="dxa"/>
            <w:left w:w="108" w:type="dxa"/>
            <w:bottom w:w="0" w:type="dxa"/>
            <w:right w:w="108" w:type="dxa"/>
          </w:tcMar>
          <w:vAlign w:val="center"/>
        </w:tcPr>
        <w:p w:rsidR="00CE7AC2" w:rsidRDefault="00800D8C">
          <w:pPr>
            <w:tabs>
              <w:tab w:val="left" w:pos="5645"/>
              <w:tab w:val="left" w:pos="8413"/>
            </w:tabs>
            <w:jc w:val="center"/>
          </w:pPr>
          <w:r>
            <w:rPr>
              <w:noProof/>
              <w:sz w:val="16"/>
              <w:szCs w:val="16"/>
              <w:lang w:val="it-IT"/>
            </w:rPr>
            <w:drawing>
              <wp:inline distT="0" distB="0" distL="0" distR="0">
                <wp:extent cx="390211" cy="322947"/>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
                        <a:srcRect/>
                        <a:stretch>
                          <a:fillRect/>
                        </a:stretch>
                      </pic:blipFill>
                      <pic:spPr>
                        <a:xfrm>
                          <a:off x="0" y="0"/>
                          <a:ext cx="390211" cy="322947"/>
                        </a:xfrm>
                        <a:prstGeom prst="rect">
                          <a:avLst/>
                        </a:prstGeom>
                        <a:ln/>
                      </pic:spPr>
                    </pic:pic>
                  </a:graphicData>
                </a:graphic>
              </wp:inline>
            </w:drawing>
          </w:r>
        </w:p>
      </w:tc>
      <w:tc>
        <w:tcPr>
          <w:tcW w:w="704" w:type="dxa"/>
          <w:shd w:val="clear" w:color="auto" w:fill="auto"/>
          <w:tcMar>
            <w:top w:w="0" w:type="dxa"/>
            <w:left w:w="108" w:type="dxa"/>
            <w:bottom w:w="0" w:type="dxa"/>
            <w:right w:w="108" w:type="dxa"/>
          </w:tcMar>
          <w:vAlign w:val="center"/>
        </w:tcPr>
        <w:p w:rsidR="00CE7AC2" w:rsidRDefault="00800D8C">
          <w:pPr>
            <w:tabs>
              <w:tab w:val="left" w:pos="5645"/>
              <w:tab w:val="left" w:pos="8413"/>
            </w:tabs>
          </w:pPr>
          <w:r>
            <w:rPr>
              <w:noProof/>
              <w:sz w:val="16"/>
              <w:szCs w:val="16"/>
              <w:lang w:val="it-IT"/>
            </w:rPr>
            <w:drawing>
              <wp:inline distT="0" distB="0" distL="0" distR="0">
                <wp:extent cx="360112" cy="394090"/>
                <wp:effectExtent l="0" t="0" r="0" b="0"/>
                <wp:docPr id="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
                        <a:srcRect/>
                        <a:stretch>
                          <a:fillRect/>
                        </a:stretch>
                      </pic:blipFill>
                      <pic:spPr>
                        <a:xfrm>
                          <a:off x="0" y="0"/>
                          <a:ext cx="360112" cy="394090"/>
                        </a:xfrm>
                        <a:prstGeom prst="rect">
                          <a:avLst/>
                        </a:prstGeom>
                        <a:ln/>
                      </pic:spPr>
                    </pic:pic>
                  </a:graphicData>
                </a:graphic>
              </wp:inline>
            </w:drawing>
          </w:r>
        </w:p>
      </w:tc>
      <w:tc>
        <w:tcPr>
          <w:tcW w:w="705" w:type="dxa"/>
          <w:shd w:val="clear" w:color="auto" w:fill="auto"/>
          <w:tcMar>
            <w:top w:w="0" w:type="dxa"/>
            <w:left w:w="108" w:type="dxa"/>
            <w:bottom w:w="0" w:type="dxa"/>
            <w:right w:w="108" w:type="dxa"/>
          </w:tcMar>
          <w:vAlign w:val="center"/>
        </w:tcPr>
        <w:p w:rsidR="00CE7AC2" w:rsidRDefault="00800D8C">
          <w:pPr>
            <w:tabs>
              <w:tab w:val="left" w:pos="5645"/>
              <w:tab w:val="left" w:pos="8413"/>
            </w:tabs>
            <w:ind w:right="-9"/>
          </w:pPr>
          <w:r>
            <w:rPr>
              <w:noProof/>
              <w:lang w:val="it-IT"/>
            </w:rPr>
            <w:drawing>
              <wp:inline distT="0" distB="0" distL="0" distR="0">
                <wp:extent cx="498764" cy="396768"/>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98764" cy="396768"/>
                        </a:xfrm>
                        <a:prstGeom prst="rect">
                          <a:avLst/>
                        </a:prstGeom>
                        <a:ln/>
                      </pic:spPr>
                    </pic:pic>
                  </a:graphicData>
                </a:graphic>
              </wp:inline>
            </w:drawing>
          </w:r>
        </w:p>
      </w:tc>
      <w:tc>
        <w:tcPr>
          <w:tcW w:w="705" w:type="dxa"/>
          <w:shd w:val="clear" w:color="auto" w:fill="auto"/>
          <w:tcMar>
            <w:top w:w="0" w:type="dxa"/>
            <w:left w:w="108" w:type="dxa"/>
            <w:bottom w:w="0" w:type="dxa"/>
            <w:right w:w="108" w:type="dxa"/>
          </w:tcMar>
          <w:vAlign w:val="center"/>
        </w:tcPr>
        <w:p w:rsidR="00CE7AC2" w:rsidRDefault="00800D8C">
          <w:pPr>
            <w:tabs>
              <w:tab w:val="left" w:pos="5645"/>
              <w:tab w:val="left" w:pos="8413"/>
            </w:tabs>
          </w:pPr>
          <w:r>
            <w:rPr>
              <w:noProof/>
              <w:lang w:val="it-IT"/>
            </w:rPr>
            <w:drawing>
              <wp:anchor distT="0" distB="0" distL="114300" distR="114300" simplePos="0" relativeHeight="251658240" behindDoc="0" locked="0" layoutInCell="1" hidden="0" allowOverlap="1">
                <wp:simplePos x="0" y="0"/>
                <wp:positionH relativeFrom="column">
                  <wp:posOffset>695961</wp:posOffset>
                </wp:positionH>
                <wp:positionV relativeFrom="paragraph">
                  <wp:posOffset>51435</wp:posOffset>
                </wp:positionV>
                <wp:extent cx="372745" cy="363855"/>
                <wp:effectExtent l="0" t="0" r="0" b="0"/>
                <wp:wrapNone/>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372745" cy="363855"/>
                        </a:xfrm>
                        <a:prstGeom prst="rect">
                          <a:avLst/>
                        </a:prstGeom>
                        <a:ln/>
                      </pic:spPr>
                    </pic:pic>
                  </a:graphicData>
                </a:graphic>
              </wp:anchor>
            </w:drawing>
          </w:r>
        </w:p>
      </w:tc>
      <w:tc>
        <w:tcPr>
          <w:tcW w:w="705" w:type="dxa"/>
          <w:shd w:val="clear" w:color="auto" w:fill="auto"/>
          <w:tcMar>
            <w:top w:w="0" w:type="dxa"/>
            <w:left w:w="108" w:type="dxa"/>
            <w:bottom w:w="0" w:type="dxa"/>
            <w:right w:w="108" w:type="dxa"/>
          </w:tcMar>
          <w:vAlign w:val="center"/>
        </w:tcPr>
        <w:p w:rsidR="00CE7AC2" w:rsidRDefault="00800D8C">
          <w:pPr>
            <w:tabs>
              <w:tab w:val="left" w:pos="5645"/>
              <w:tab w:val="left" w:pos="8413"/>
            </w:tabs>
            <w:jc w:val="center"/>
          </w:pPr>
          <w:r>
            <w:rPr>
              <w:noProof/>
              <w:sz w:val="16"/>
              <w:szCs w:val="16"/>
              <w:lang w:val="it-IT"/>
            </w:rPr>
            <w:drawing>
              <wp:inline distT="0" distB="0" distL="0" distR="0">
                <wp:extent cx="327410" cy="321347"/>
                <wp:effectExtent l="0" t="0" r="0" b="0"/>
                <wp:docPr id="1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6"/>
                        <a:srcRect/>
                        <a:stretch>
                          <a:fillRect/>
                        </a:stretch>
                      </pic:blipFill>
                      <pic:spPr>
                        <a:xfrm>
                          <a:off x="0" y="0"/>
                          <a:ext cx="327410" cy="321347"/>
                        </a:xfrm>
                        <a:prstGeom prst="rect">
                          <a:avLst/>
                        </a:prstGeom>
                        <a:ln/>
                      </pic:spPr>
                    </pic:pic>
                  </a:graphicData>
                </a:graphic>
              </wp:inline>
            </w:drawing>
          </w:r>
        </w:p>
      </w:tc>
      <w:tc>
        <w:tcPr>
          <w:tcW w:w="563" w:type="dxa"/>
          <w:shd w:val="clear" w:color="auto" w:fill="auto"/>
          <w:tcMar>
            <w:top w:w="0" w:type="dxa"/>
            <w:left w:w="108" w:type="dxa"/>
            <w:bottom w:w="0" w:type="dxa"/>
            <w:right w:w="108" w:type="dxa"/>
          </w:tcMar>
          <w:vAlign w:val="center"/>
        </w:tcPr>
        <w:p w:rsidR="00CE7AC2" w:rsidRDefault="00800D8C">
          <w:pPr>
            <w:tabs>
              <w:tab w:val="left" w:pos="5645"/>
              <w:tab w:val="left" w:pos="8413"/>
            </w:tabs>
          </w:pPr>
          <w:r>
            <w:rPr>
              <w:noProof/>
              <w:lang w:val="it-IT"/>
            </w:rPr>
            <w:drawing>
              <wp:anchor distT="0" distB="0" distL="0" distR="0" simplePos="0" relativeHeight="251659264" behindDoc="1" locked="0" layoutInCell="1" hidden="0" allowOverlap="1">
                <wp:simplePos x="0" y="0"/>
                <wp:positionH relativeFrom="column">
                  <wp:posOffset>637541</wp:posOffset>
                </wp:positionH>
                <wp:positionV relativeFrom="paragraph">
                  <wp:posOffset>60325</wp:posOffset>
                </wp:positionV>
                <wp:extent cx="414020" cy="445135"/>
                <wp:effectExtent l="0" t="0" r="0" b="0"/>
                <wp:wrapNone/>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414020" cy="445135"/>
                        </a:xfrm>
                        <a:prstGeom prst="rect">
                          <a:avLst/>
                        </a:prstGeom>
                        <a:ln/>
                      </pic:spPr>
                    </pic:pic>
                  </a:graphicData>
                </a:graphic>
              </wp:anchor>
            </w:drawing>
          </w:r>
        </w:p>
      </w:tc>
      <w:tc>
        <w:tcPr>
          <w:tcW w:w="1691" w:type="dxa"/>
          <w:shd w:val="clear" w:color="auto" w:fill="auto"/>
          <w:tcMar>
            <w:top w:w="0" w:type="dxa"/>
            <w:left w:w="108" w:type="dxa"/>
            <w:bottom w:w="0" w:type="dxa"/>
            <w:right w:w="108" w:type="dxa"/>
          </w:tcMar>
          <w:vAlign w:val="center"/>
        </w:tcPr>
        <w:p w:rsidR="00CE7AC2" w:rsidRDefault="00800D8C">
          <w:pPr>
            <w:tabs>
              <w:tab w:val="left" w:pos="5645"/>
              <w:tab w:val="left" w:pos="8413"/>
            </w:tabs>
            <w:jc w:val="center"/>
          </w:pPr>
          <w:r>
            <w:rPr>
              <w:noProof/>
              <w:lang w:val="it-IT"/>
            </w:rPr>
            <w:drawing>
              <wp:anchor distT="0" distB="0" distL="0" distR="0" simplePos="0" relativeHeight="251660288" behindDoc="1" locked="0" layoutInCell="1" hidden="0" allowOverlap="1">
                <wp:simplePos x="0" y="0"/>
                <wp:positionH relativeFrom="column">
                  <wp:posOffset>718186</wp:posOffset>
                </wp:positionH>
                <wp:positionV relativeFrom="paragraph">
                  <wp:posOffset>-31113</wp:posOffset>
                </wp:positionV>
                <wp:extent cx="996950" cy="306070"/>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996950" cy="306070"/>
                        </a:xfrm>
                        <a:prstGeom prst="rect">
                          <a:avLst/>
                        </a:prstGeom>
                        <a:ln/>
                      </pic:spPr>
                    </pic:pic>
                  </a:graphicData>
                </a:graphic>
              </wp:anchor>
            </w:drawing>
          </w:r>
        </w:p>
      </w:tc>
      <w:tc>
        <w:tcPr>
          <w:tcW w:w="845" w:type="dxa"/>
          <w:shd w:val="clear" w:color="auto" w:fill="auto"/>
          <w:tcMar>
            <w:top w:w="0" w:type="dxa"/>
            <w:left w:w="108" w:type="dxa"/>
            <w:bottom w:w="0" w:type="dxa"/>
            <w:right w:w="108" w:type="dxa"/>
          </w:tcMar>
        </w:tcPr>
        <w:p w:rsidR="00CE7AC2" w:rsidRDefault="00800D8C">
          <w:pPr>
            <w:tabs>
              <w:tab w:val="left" w:pos="5645"/>
              <w:tab w:val="left" w:pos="8413"/>
            </w:tabs>
          </w:pPr>
          <w:r>
            <w:rPr>
              <w:noProof/>
              <w:lang w:val="it-IT"/>
            </w:rPr>
            <w:drawing>
              <wp:anchor distT="0" distB="0" distL="114300" distR="114300" simplePos="0" relativeHeight="251661312" behindDoc="0" locked="0" layoutInCell="1" hidden="0" allowOverlap="1">
                <wp:simplePos x="0" y="0"/>
                <wp:positionH relativeFrom="column">
                  <wp:posOffset>716916</wp:posOffset>
                </wp:positionH>
                <wp:positionV relativeFrom="paragraph">
                  <wp:posOffset>162560</wp:posOffset>
                </wp:positionV>
                <wp:extent cx="368300" cy="304800"/>
                <wp:effectExtent l="0" t="0" r="0" b="0"/>
                <wp:wrapTopAndBottom distT="0" dist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368300" cy="304800"/>
                        </a:xfrm>
                        <a:prstGeom prst="rect">
                          <a:avLst/>
                        </a:prstGeom>
                        <a:ln/>
                      </pic:spPr>
                    </pic:pic>
                  </a:graphicData>
                </a:graphic>
              </wp:anchor>
            </w:drawing>
          </w:r>
        </w:p>
      </w:tc>
      <w:tc>
        <w:tcPr>
          <w:tcW w:w="1127" w:type="dxa"/>
          <w:shd w:val="clear" w:color="auto" w:fill="auto"/>
          <w:tcMar>
            <w:top w:w="0" w:type="dxa"/>
            <w:left w:w="10" w:type="dxa"/>
            <w:bottom w:w="0" w:type="dxa"/>
            <w:right w:w="10" w:type="dxa"/>
          </w:tcMar>
        </w:tcPr>
        <w:p w:rsidR="00CE7AC2" w:rsidRDefault="00800D8C">
          <w:pPr>
            <w:tabs>
              <w:tab w:val="left" w:pos="5645"/>
              <w:tab w:val="left" w:pos="8413"/>
            </w:tabs>
            <w:jc w:val="center"/>
          </w:pPr>
          <w:r>
            <w:rPr>
              <w:noProof/>
              <w:lang w:val="it-IT"/>
            </w:rPr>
            <w:drawing>
              <wp:anchor distT="0" distB="0" distL="114300" distR="114300" simplePos="0" relativeHeight="251662336" behindDoc="0" locked="0" layoutInCell="1" hidden="0" allowOverlap="1">
                <wp:simplePos x="0" y="0"/>
                <wp:positionH relativeFrom="column">
                  <wp:posOffset>716916</wp:posOffset>
                </wp:positionH>
                <wp:positionV relativeFrom="paragraph">
                  <wp:posOffset>187960</wp:posOffset>
                </wp:positionV>
                <wp:extent cx="799469" cy="370844"/>
                <wp:effectExtent l="0" t="0" r="0" b="0"/>
                <wp:wrapSquare wrapText="bothSides" distT="0" distB="0" distL="114300" distR="11430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799469" cy="370844"/>
                        </a:xfrm>
                        <a:prstGeom prst="rect">
                          <a:avLst/>
                        </a:prstGeom>
                        <a:ln/>
                      </pic:spPr>
                    </pic:pic>
                  </a:graphicData>
                </a:graphic>
              </wp:anchor>
            </w:drawing>
          </w:r>
        </w:p>
      </w:tc>
      <w:tc>
        <w:tcPr>
          <w:tcW w:w="986" w:type="dxa"/>
          <w:shd w:val="clear" w:color="auto" w:fill="auto"/>
          <w:tcMar>
            <w:top w:w="0" w:type="dxa"/>
            <w:left w:w="10" w:type="dxa"/>
            <w:bottom w:w="0" w:type="dxa"/>
            <w:right w:w="10" w:type="dxa"/>
          </w:tcMar>
        </w:tcPr>
        <w:p w:rsidR="00CE7AC2" w:rsidRDefault="00800D8C">
          <w:pPr>
            <w:tabs>
              <w:tab w:val="left" w:pos="5645"/>
              <w:tab w:val="left" w:pos="8413"/>
            </w:tabs>
            <w:jc w:val="center"/>
          </w:pPr>
          <w:r>
            <w:rPr>
              <w:noProof/>
              <w:lang w:val="it-IT"/>
            </w:rPr>
            <w:drawing>
              <wp:anchor distT="0" distB="0" distL="114300" distR="114300" simplePos="0" relativeHeight="251663360" behindDoc="0" locked="0" layoutInCell="1" hidden="0" allowOverlap="1">
                <wp:simplePos x="0" y="0"/>
                <wp:positionH relativeFrom="column">
                  <wp:posOffset>775110</wp:posOffset>
                </wp:positionH>
                <wp:positionV relativeFrom="paragraph">
                  <wp:posOffset>181087</wp:posOffset>
                </wp:positionV>
                <wp:extent cx="474345" cy="324483"/>
                <wp:effectExtent l="0" t="0" r="0" b="0"/>
                <wp:wrapSquare wrapText="bothSides" distT="0" distB="0" distL="114300" distR="11430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474345" cy="324483"/>
                        </a:xfrm>
                        <a:prstGeom prst="rect">
                          <a:avLst/>
                        </a:prstGeom>
                        <a:ln/>
                      </pic:spPr>
                    </pic:pic>
                  </a:graphicData>
                </a:graphic>
              </wp:anchor>
            </w:drawing>
          </w:r>
        </w:p>
      </w:tc>
    </w:tr>
  </w:tbl>
  <w:p w:rsidR="00CE7AC2" w:rsidRDefault="00800D8C">
    <w:pPr>
      <w:tabs>
        <w:tab w:val="left" w:pos="5645"/>
      </w:tabs>
      <w:ind w:right="-143"/>
    </w:pPr>
    <w:r>
      <w:rPr>
        <w:rFonts w:ascii="Calibri" w:eastAsia="Calibri" w:hAnsi="Calibri" w:cs="Calibri"/>
        <w:sz w:val="12"/>
        <w:szCs w:val="12"/>
      </w:rPr>
      <w:t xml:space="preserve">Ogni riproduzione su supporto cartaceo costituisce una copia del documento elettronico originale firmato digitalmente e conservato c/o l’I.C. Vanni ai sensi della normativa vigente           Pag. </w:t>
    </w:r>
    <w:r>
      <w:rPr>
        <w:rFonts w:ascii="Calibri" w:eastAsia="Calibri" w:hAnsi="Calibri" w:cs="Calibri"/>
        <w:sz w:val="12"/>
        <w:szCs w:val="12"/>
      </w:rPr>
      <w:fldChar w:fldCharType="begin"/>
    </w:r>
    <w:r>
      <w:rPr>
        <w:rFonts w:ascii="Calibri" w:eastAsia="Calibri" w:hAnsi="Calibri" w:cs="Calibri"/>
        <w:sz w:val="12"/>
        <w:szCs w:val="12"/>
      </w:rPr>
      <w:instrText>PAGE</w:instrText>
    </w:r>
    <w:r>
      <w:rPr>
        <w:rFonts w:ascii="Calibri" w:eastAsia="Calibri" w:hAnsi="Calibri" w:cs="Calibri"/>
        <w:sz w:val="12"/>
        <w:szCs w:val="12"/>
      </w:rPr>
      <w:fldChar w:fldCharType="separate"/>
    </w:r>
    <w:r w:rsidR="0002630C">
      <w:rPr>
        <w:rFonts w:ascii="Calibri" w:eastAsia="Calibri" w:hAnsi="Calibri" w:cs="Calibri"/>
        <w:noProof/>
        <w:sz w:val="12"/>
        <w:szCs w:val="12"/>
      </w:rPr>
      <w:t>1</w:t>
    </w:r>
    <w:r>
      <w:rPr>
        <w:rFonts w:ascii="Calibri" w:eastAsia="Calibri" w:hAnsi="Calibri" w:cs="Calibri"/>
        <w:sz w:val="12"/>
        <w:szCs w:val="12"/>
      </w:rPr>
      <w:fldChar w:fldCharType="end"/>
    </w:r>
    <w:r>
      <w:rPr>
        <w:rFonts w:ascii="Calibri" w:eastAsia="Calibri" w:hAnsi="Calibri" w:cs="Calibri"/>
        <w:sz w:val="12"/>
        <w:szCs w:val="12"/>
      </w:rPr>
      <w:t xml:space="preserve"> a </w:t>
    </w:r>
    <w:r>
      <w:rPr>
        <w:rFonts w:ascii="Calibri" w:eastAsia="Calibri" w:hAnsi="Calibri" w:cs="Calibri"/>
        <w:sz w:val="12"/>
        <w:szCs w:val="12"/>
      </w:rPr>
      <w:fldChar w:fldCharType="begin"/>
    </w:r>
    <w:r>
      <w:rPr>
        <w:rFonts w:ascii="Calibri" w:eastAsia="Calibri" w:hAnsi="Calibri" w:cs="Calibri"/>
        <w:sz w:val="12"/>
        <w:szCs w:val="12"/>
      </w:rPr>
      <w:instrText>NUMPAGES</w:instrText>
    </w:r>
    <w:r>
      <w:rPr>
        <w:rFonts w:ascii="Calibri" w:eastAsia="Calibri" w:hAnsi="Calibri" w:cs="Calibri"/>
        <w:sz w:val="12"/>
        <w:szCs w:val="12"/>
      </w:rPr>
      <w:fldChar w:fldCharType="separate"/>
    </w:r>
    <w:r w:rsidR="0002630C">
      <w:rPr>
        <w:rFonts w:ascii="Calibri" w:eastAsia="Calibri" w:hAnsi="Calibri" w:cs="Calibri"/>
        <w:noProof/>
        <w:sz w:val="12"/>
        <w:szCs w:val="12"/>
      </w:rPr>
      <w:t>5</w:t>
    </w:r>
    <w:r>
      <w:rPr>
        <w:rFonts w:ascii="Calibri" w:eastAsia="Calibri" w:hAnsi="Calibri" w:cs="Calibri"/>
        <w:sz w:val="12"/>
        <w:szCs w:val="12"/>
      </w:rPr>
      <w:fldChar w:fldCharType="end"/>
    </w:r>
  </w:p>
  <w:p w:rsidR="00CE7AC2" w:rsidRDefault="00CE7AC2">
    <w:pPr>
      <w:pBdr>
        <w:top w:val="nil"/>
        <w:left w:val="nil"/>
        <w:bottom w:val="nil"/>
        <w:right w:val="nil"/>
        <w:between w:val="nil"/>
      </w:pBdr>
      <w:tabs>
        <w:tab w:val="center" w:pos="4819"/>
        <w:tab w:val="right" w:pos="9638"/>
        <w:tab w:val="left" w:pos="516"/>
      </w:tabs>
      <w:rPr>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468" w:rsidRDefault="009E5468">
      <w:pPr>
        <w:spacing w:before="0"/>
      </w:pPr>
      <w:r>
        <w:separator/>
      </w:r>
    </w:p>
  </w:footnote>
  <w:footnote w:type="continuationSeparator" w:id="0">
    <w:p w:rsidR="009E5468" w:rsidRDefault="009E5468">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AC2" w:rsidRDefault="00CE7AC2">
    <w:pPr>
      <w:pBdr>
        <w:top w:val="nil"/>
        <w:left w:val="nil"/>
        <w:bottom w:val="nil"/>
        <w:right w:val="nil"/>
        <w:between w:val="nil"/>
      </w:pBdr>
      <w:tabs>
        <w:tab w:val="center" w:pos="4819"/>
        <w:tab w:val="right" w:pos="9638"/>
      </w:tabs>
      <w:jc w:val="center"/>
      <w:rPr>
        <w:color w:val="FF0000"/>
        <w:sz w:val="32"/>
        <w:szCs w:val="32"/>
      </w:rPr>
    </w:pPr>
  </w:p>
  <w:p w:rsidR="00CE7AC2" w:rsidRDefault="00800D8C">
    <w:pPr>
      <w:widowControl w:val="0"/>
      <w:pBdr>
        <w:top w:val="nil"/>
        <w:left w:val="nil"/>
        <w:bottom w:val="nil"/>
        <w:right w:val="nil"/>
        <w:between w:val="nil"/>
      </w:pBdr>
      <w:tabs>
        <w:tab w:val="left" w:pos="767"/>
      </w:tabs>
      <w:jc w:val="center"/>
      <w:rPr>
        <w:color w:val="000000"/>
      </w:rPr>
    </w:pPr>
    <w:r>
      <w:rPr>
        <w:noProof/>
        <w:color w:val="000000"/>
        <w:lang w:val="it-IT"/>
      </w:rPr>
      <w:drawing>
        <wp:inline distT="0" distB="0" distL="0" distR="0">
          <wp:extent cx="5806593" cy="596863"/>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806593" cy="596863"/>
                  </a:xfrm>
                  <a:prstGeom prst="rect">
                    <a:avLst/>
                  </a:prstGeom>
                  <a:ln/>
                </pic:spPr>
              </pic:pic>
            </a:graphicData>
          </a:graphic>
        </wp:inline>
      </w:drawing>
    </w:r>
    <w:r>
      <w:rPr>
        <w:noProof/>
        <w:color w:val="000000"/>
        <w:lang w:val="it-IT"/>
      </w:rPr>
      <w:drawing>
        <wp:inline distT="0" distB="0" distL="0" distR="0">
          <wp:extent cx="5877991" cy="458013"/>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5877991" cy="458013"/>
                  </a:xfrm>
                  <a:prstGeom prst="rect">
                    <a:avLst/>
                  </a:prstGeom>
                  <a:ln/>
                </pic:spPr>
              </pic:pic>
            </a:graphicData>
          </a:graphic>
        </wp:inline>
      </w:drawing>
    </w:r>
  </w:p>
  <w:p w:rsidR="00CE7AC2" w:rsidRDefault="00800D8C">
    <w:pPr>
      <w:jc w:val="center"/>
    </w:pPr>
    <w:r>
      <w:rPr>
        <w:b/>
        <w:bCs/>
        <w:i/>
        <w:iCs/>
        <w:noProof/>
        <w:color w:val="0000FF"/>
        <w:sz w:val="16"/>
        <w:szCs w:val="16"/>
        <w:u w:val="single"/>
        <w:lang w:val="it-IT"/>
      </w:rPr>
      <w:drawing>
        <wp:inline distT="0" distB="0" distL="0" distR="0">
          <wp:extent cx="4213892" cy="104946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4213892" cy="1049468"/>
                  </a:xfrm>
                  <a:prstGeom prst="rect">
                    <a:avLst/>
                  </a:prstGeom>
                  <a:ln/>
                </pic:spPr>
              </pic:pic>
            </a:graphicData>
          </a:graphic>
        </wp:inline>
      </w:drawing>
    </w:r>
  </w:p>
  <w:p w:rsidR="00CE7AC2" w:rsidRDefault="00CE7AC2">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174F4"/>
    <w:multiLevelType w:val="multilevel"/>
    <w:tmpl w:val="F8C4F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A416E4B"/>
    <w:multiLevelType w:val="multilevel"/>
    <w:tmpl w:val="FF7AB3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5B8D0A80"/>
    <w:multiLevelType w:val="multilevel"/>
    <w:tmpl w:val="1292E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E6466A9"/>
    <w:multiLevelType w:val="multilevel"/>
    <w:tmpl w:val="63341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AC2"/>
    <w:rsid w:val="0002630C"/>
    <w:rsid w:val="0010281D"/>
    <w:rsid w:val="00800D8C"/>
    <w:rsid w:val="009E5468"/>
    <w:rsid w:val="00CE7A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28C5C3-FA43-4C08-A940-21FDD1CA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 w:eastAsia="it-IT" w:bidi="ar-SA"/>
      </w:rPr>
    </w:rPrDefault>
    <w:pPrDefault>
      <w:pPr>
        <w:spacing w:before="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ind w:firstLine="709"/>
      <w:outlineLvl w:val="0"/>
    </w:pPr>
    <w:rPr>
      <w:rFonts w:ascii="Arial" w:eastAsia="Arial" w:hAnsi="Arial" w:cs="Arial"/>
      <w:b/>
      <w:bCs/>
      <w:sz w:val="22"/>
      <w:szCs w:val="22"/>
      <w:u w:val="single"/>
    </w:rPr>
  </w:style>
  <w:style w:type="paragraph" w:styleId="Titolo2">
    <w:name w:val="heading 2"/>
    <w:basedOn w:val="Normale"/>
    <w:next w:val="Normale"/>
    <w:pPr>
      <w:keepNext/>
      <w:spacing w:before="240" w:after="60"/>
      <w:outlineLvl w:val="1"/>
    </w:pPr>
    <w:rPr>
      <w:rFonts w:ascii="Arial" w:eastAsia="Arial" w:hAnsi="Arial" w:cs="Arial"/>
      <w:b/>
      <w:bCs/>
      <w:i/>
      <w:iCs/>
      <w:sz w:val="28"/>
      <w:szCs w:val="28"/>
    </w:rPr>
  </w:style>
  <w:style w:type="paragraph" w:styleId="Titolo3">
    <w:name w:val="heading 3"/>
    <w:basedOn w:val="Normale"/>
    <w:next w:val="Normale"/>
    <w:pPr>
      <w:keepNext/>
      <w:spacing w:before="240" w:after="60"/>
      <w:outlineLvl w:val="2"/>
    </w:pPr>
    <w:rPr>
      <w:rFonts w:ascii="Arial" w:eastAsia="Arial" w:hAnsi="Arial" w:cs="Arial"/>
      <w:b/>
      <w:bCs/>
      <w:sz w:val="26"/>
      <w:szCs w:val="26"/>
    </w:rPr>
  </w:style>
  <w:style w:type="paragraph" w:styleId="Titolo4">
    <w:name w:val="heading 4"/>
    <w:basedOn w:val="Normale"/>
    <w:next w:val="Normale"/>
    <w:pPr>
      <w:keepNext/>
      <w:outlineLvl w:val="3"/>
    </w:pPr>
    <w:rPr>
      <w:b/>
      <w:bCs/>
    </w:rPr>
  </w:style>
  <w:style w:type="paragraph" w:styleId="Titolo5">
    <w:name w:val="heading 5"/>
    <w:basedOn w:val="Normale"/>
    <w:next w:val="Normale"/>
    <w:pPr>
      <w:keepNext/>
      <w:spacing w:after="60"/>
      <w:jc w:val="center"/>
      <w:outlineLvl w:val="4"/>
    </w:pPr>
    <w:rPr>
      <w:b/>
      <w:bCs/>
      <w:sz w:val="24"/>
      <w:szCs w:val="24"/>
    </w:rPr>
  </w:style>
  <w:style w:type="paragraph" w:styleId="Titolo6">
    <w:name w:val="heading 6"/>
    <w:basedOn w:val="Normale"/>
    <w:next w:val="Normale"/>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ind w:firstLine="709"/>
      <w:jc w:val="center"/>
    </w:pPr>
    <w:rPr>
      <w:rFonts w:ascii="Arial Black" w:eastAsia="Arial Black" w:hAnsi="Arial Black" w:cs="Arial Black"/>
      <w:sz w:val="28"/>
      <w:szCs w:val="28"/>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pggalli@pec.gallilab.it" TargetMode="External"/><Relationship Id="rId3" Type="http://schemas.openxmlformats.org/officeDocument/2006/relationships/settings" Target="settings.xml"/><Relationship Id="rId7" Type="http://schemas.openxmlformats.org/officeDocument/2006/relationships/hyperlink" Target="mailto:pggalli@gallilab.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6.jp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9.jp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2158</Words>
  <Characters>12307</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Amministratore</dc:creator>
  <cp:lastModifiedBy>Amministratore</cp:lastModifiedBy>
  <cp:revision>2</cp:revision>
  <dcterms:created xsi:type="dcterms:W3CDTF">2026-08-24T12:10:00Z</dcterms:created>
  <dcterms:modified xsi:type="dcterms:W3CDTF">2026-08-24T12:10:00Z</dcterms:modified>
</cp:coreProperties>
</file>